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6F6D" w14:textId="2FBF7161" w:rsidR="004C6B39" w:rsidRDefault="00985ED1" w:rsidP="00985ED1">
      <w:pPr>
        <w:jc w:val="center"/>
        <w:rPr>
          <w:u w:val="single"/>
        </w:rPr>
      </w:pPr>
      <w:r>
        <w:rPr>
          <w:u w:val="single"/>
        </w:rPr>
        <w:t>Foundation Governors Professional Development – Session Two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819"/>
      </w:tblGrid>
      <w:tr w:rsidR="00E24C7D" w14:paraId="4685BE0D" w14:textId="77777777" w:rsidTr="0038012B">
        <w:tc>
          <w:tcPr>
            <w:tcW w:w="1129" w:type="dxa"/>
          </w:tcPr>
          <w:p w14:paraId="476ED531" w14:textId="514D1AAB" w:rsidR="00E24C7D" w:rsidRDefault="00E24C7D" w:rsidP="00E24C7D">
            <w:pPr>
              <w:jc w:val="center"/>
            </w:pPr>
            <w:r>
              <w:t>Breakout</w:t>
            </w:r>
          </w:p>
        </w:tc>
        <w:tc>
          <w:tcPr>
            <w:tcW w:w="12819" w:type="dxa"/>
          </w:tcPr>
          <w:p w14:paraId="01F59C9C" w14:textId="1B3E74BE" w:rsidR="00E24C7D" w:rsidRDefault="00E24C7D" w:rsidP="00E24C7D">
            <w:pPr>
              <w:jc w:val="center"/>
            </w:pPr>
            <w:r>
              <w:t>Questions for discussion</w:t>
            </w:r>
          </w:p>
        </w:tc>
      </w:tr>
      <w:tr w:rsidR="00E24C7D" w14:paraId="03535EF7" w14:textId="77777777" w:rsidTr="0038012B">
        <w:tc>
          <w:tcPr>
            <w:tcW w:w="1129" w:type="dxa"/>
          </w:tcPr>
          <w:p w14:paraId="13D8C71A" w14:textId="77777777" w:rsidR="00E24C7D" w:rsidRDefault="00E24C7D" w:rsidP="00E24C7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9" w:type="dxa"/>
          </w:tcPr>
          <w:p w14:paraId="34E108CD" w14:textId="77777777" w:rsidR="00BD72F4" w:rsidRDefault="00E24C7D" w:rsidP="0038012B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Calibri" w:hAnsi="Calibri" w:cs="Times New Roman"/>
                <w:color w:val="FF0000"/>
              </w:rPr>
            </w:pPr>
            <w:r w:rsidRPr="00FC3B01">
              <w:rPr>
                <w:rFonts w:ascii="Calibri" w:hAnsi="Calibri" w:cs="Times New Roman"/>
                <w:color w:val="FF0000"/>
              </w:rPr>
              <w:t>How do you hold your leaders to account?</w:t>
            </w:r>
          </w:p>
          <w:p w14:paraId="7E5AFAC5" w14:textId="507348D0" w:rsidR="00E24C7D" w:rsidRPr="00BD72F4" w:rsidRDefault="00E24C7D" w:rsidP="00BD72F4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="Calibri" w:hAnsi="Calibri" w:cs="Times New Roman"/>
                <w:color w:val="FF0000"/>
              </w:rPr>
            </w:pPr>
            <w:r w:rsidRPr="00FC3B01">
              <w:rPr>
                <w:rFonts w:ascii="Calibri" w:hAnsi="Calibri" w:cs="Times New Roman"/>
                <w:color w:val="FF0000"/>
              </w:rPr>
              <w:t>How are you held to account</w:t>
            </w:r>
            <w:r w:rsidR="00BD72F4">
              <w:rPr>
                <w:rFonts w:ascii="Calibri" w:hAnsi="Calibri" w:cs="Times New Roman"/>
                <w:color w:val="FF0000"/>
              </w:rPr>
              <w:t xml:space="preserve"> in your role as a Governor?</w:t>
            </w:r>
          </w:p>
        </w:tc>
      </w:tr>
      <w:tr w:rsidR="00E24C7D" w14:paraId="41A36ECF" w14:textId="77777777" w:rsidTr="0038012B">
        <w:tc>
          <w:tcPr>
            <w:tcW w:w="1129" w:type="dxa"/>
          </w:tcPr>
          <w:p w14:paraId="306EE5E6" w14:textId="77777777" w:rsidR="00E24C7D" w:rsidRDefault="00E24C7D" w:rsidP="00E24C7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9" w:type="dxa"/>
          </w:tcPr>
          <w:p w14:paraId="2F042B74" w14:textId="77777777" w:rsidR="00E24C7D" w:rsidRDefault="00E24C7D" w:rsidP="0038012B">
            <w:pPr>
              <w:pStyle w:val="ListParagraph"/>
              <w:numPr>
                <w:ilvl w:val="0"/>
                <w:numId w:val="3"/>
              </w:numPr>
              <w:ind w:left="318"/>
              <w:rPr>
                <w:color w:val="FF0000"/>
              </w:rPr>
            </w:pPr>
            <w:r w:rsidRPr="00396EBB">
              <w:rPr>
                <w:color w:val="FF0000"/>
              </w:rPr>
              <w:t>As Foundation Governors in church schools and Trusts, who do we have to hold to account and for what?</w:t>
            </w:r>
          </w:p>
          <w:p w14:paraId="29767CEE" w14:textId="6AFAB525" w:rsidR="00E24C7D" w:rsidRPr="00E24C7D" w:rsidRDefault="00E24C7D" w:rsidP="0038012B">
            <w:pPr>
              <w:pStyle w:val="ListParagraph"/>
              <w:numPr>
                <w:ilvl w:val="0"/>
                <w:numId w:val="3"/>
              </w:numPr>
              <w:ind w:left="318"/>
              <w:rPr>
                <w:color w:val="FF0000"/>
              </w:rPr>
            </w:pPr>
            <w:r w:rsidRPr="00E24C7D">
              <w:rPr>
                <w:color w:val="FF0000"/>
              </w:rPr>
              <w:t>As Foundation Governors in church schools and Trusts, who holds us to account / who are we accountable to?</w:t>
            </w:r>
          </w:p>
        </w:tc>
      </w:tr>
      <w:tr w:rsidR="00E24C7D" w14:paraId="30522A78" w14:textId="77777777" w:rsidTr="0038012B">
        <w:tc>
          <w:tcPr>
            <w:tcW w:w="1129" w:type="dxa"/>
          </w:tcPr>
          <w:p w14:paraId="35DEC574" w14:textId="77777777" w:rsidR="00E24C7D" w:rsidRDefault="00E24C7D" w:rsidP="00E24C7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9" w:type="dxa"/>
          </w:tcPr>
          <w:p w14:paraId="10A176C8" w14:textId="0281B87D" w:rsidR="00E24C7D" w:rsidRDefault="00E24C7D" w:rsidP="0038012B">
            <w:pPr>
              <w:pStyle w:val="ListParagraph"/>
              <w:numPr>
                <w:ilvl w:val="0"/>
                <w:numId w:val="4"/>
              </w:numPr>
              <w:ind w:left="318"/>
              <w:textAlignment w:val="baseline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If ‘Jesus inspires perseverance, patience, gratitude, openness to surprises, and celebration’, how should these inform a panel in making a performance related pay recommendation?</w:t>
            </w:r>
          </w:p>
          <w:p w14:paraId="458F446A" w14:textId="55F23CB7" w:rsidR="0038012B" w:rsidRPr="00DB380E" w:rsidRDefault="0038012B" w:rsidP="0038012B">
            <w:pPr>
              <w:pStyle w:val="ListParagraph"/>
              <w:ind w:left="318"/>
              <w:jc w:val="center"/>
              <w:textAlignment w:val="baseline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OR</w:t>
            </w:r>
          </w:p>
          <w:p w14:paraId="3E49CD34" w14:textId="5DC3DB30" w:rsidR="00E24C7D" w:rsidRPr="00E24C7D" w:rsidRDefault="00E24C7D" w:rsidP="0038012B">
            <w:pPr>
              <w:pStyle w:val="ListParagraph"/>
              <w:numPr>
                <w:ilvl w:val="0"/>
                <w:numId w:val="4"/>
              </w:numPr>
              <w:ind w:left="318"/>
              <w:textAlignment w:val="baseline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(</w:t>
            </w:r>
            <w:r>
              <w:rPr>
                <w:rFonts w:eastAsia="Times New Roman"/>
                <w:i/>
                <w:iCs/>
                <w:color w:val="FF0000"/>
              </w:rPr>
              <w:t>A question for the executive leader</w:t>
            </w:r>
            <w:r>
              <w:rPr>
                <w:rFonts w:eastAsia="Times New Roman"/>
                <w:color w:val="FF0000"/>
              </w:rPr>
              <w:t xml:space="preserve">) Where </w:t>
            </w:r>
            <w:proofErr w:type="gramStart"/>
            <w:r>
              <w:rPr>
                <w:rFonts w:eastAsia="Times New Roman"/>
                <w:color w:val="FF0000"/>
              </w:rPr>
              <w:t>do</w:t>
            </w:r>
            <w:proofErr w:type="gramEnd"/>
            <w:r>
              <w:rPr>
                <w:rFonts w:eastAsia="Times New Roman"/>
                <w:color w:val="FF0000"/>
              </w:rPr>
              <w:t xml:space="preserve"> you get your hope from? What sustains you? What might you need to do more of to keep your ‘reservoir of hope’ filled?</w:t>
            </w:r>
          </w:p>
        </w:tc>
      </w:tr>
      <w:tr w:rsidR="00E24C7D" w14:paraId="5F484669" w14:textId="77777777" w:rsidTr="0038012B">
        <w:tc>
          <w:tcPr>
            <w:tcW w:w="1129" w:type="dxa"/>
          </w:tcPr>
          <w:p w14:paraId="7B988227" w14:textId="156B1B49" w:rsidR="00E24C7D" w:rsidRDefault="0038012B" w:rsidP="00E24C7D">
            <w:pPr>
              <w:jc w:val="center"/>
            </w:pPr>
            <w:r>
              <w:t>D</w:t>
            </w:r>
            <w:r w:rsidR="00E24C7D">
              <w:t>uring supper</w:t>
            </w:r>
          </w:p>
        </w:tc>
        <w:tc>
          <w:tcPr>
            <w:tcW w:w="12819" w:type="dxa"/>
          </w:tcPr>
          <w:p w14:paraId="24C61CB6" w14:textId="05860BDC" w:rsidR="00E24C7D" w:rsidRDefault="00E24C7D" w:rsidP="0038012B">
            <w:pPr>
              <w:pStyle w:val="ListParagraph"/>
              <w:numPr>
                <w:ilvl w:val="0"/>
                <w:numId w:val="4"/>
              </w:numPr>
              <w:ind w:left="318"/>
              <w:textAlignment w:val="baseline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 xml:space="preserve">How does the </w:t>
            </w:r>
            <w:r w:rsidR="0038012B">
              <w:rPr>
                <w:rFonts w:eastAsia="Times New Roman"/>
                <w:color w:val="FF0000"/>
              </w:rPr>
              <w:t>chair, through setting the expectations, support the wellbeing of all staff to ensure that everyone can fulfil their role in the school community whilst keeping workloads manageable?</w:t>
            </w:r>
          </w:p>
        </w:tc>
      </w:tr>
      <w:tr w:rsidR="00E24C7D" w14:paraId="64D02AB9" w14:textId="77777777" w:rsidTr="0038012B">
        <w:tc>
          <w:tcPr>
            <w:tcW w:w="1129" w:type="dxa"/>
          </w:tcPr>
          <w:p w14:paraId="5B340A9E" w14:textId="77777777" w:rsidR="00E24C7D" w:rsidRDefault="00E24C7D" w:rsidP="00E24C7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9" w:type="dxa"/>
          </w:tcPr>
          <w:p w14:paraId="02D0320C" w14:textId="491017A4" w:rsidR="00E24C7D" w:rsidRPr="0038012B" w:rsidRDefault="00E24C7D" w:rsidP="0038012B">
            <w:pPr>
              <w:pStyle w:val="ListParagraph"/>
              <w:numPr>
                <w:ilvl w:val="0"/>
                <w:numId w:val="6"/>
              </w:numPr>
              <w:ind w:left="318"/>
              <w:textAlignment w:val="baseline"/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 xml:space="preserve">Hope in God’s future can stimulate prophetic responses to the present situation. Are we open to radical solutions? To what extent does our </w:t>
            </w:r>
            <w:proofErr w:type="gramStart"/>
            <w:r w:rsidRPr="0038012B"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decision making</w:t>
            </w:r>
            <w:proofErr w:type="gramEnd"/>
            <w:r w:rsidRPr="0038012B"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 xml:space="preserve"> process allow for the creative and courageous?</w:t>
            </w:r>
          </w:p>
          <w:p w14:paraId="0967BC48" w14:textId="2D8DE599" w:rsidR="0038012B" w:rsidRPr="0038012B" w:rsidRDefault="0038012B" w:rsidP="0038012B">
            <w:pPr>
              <w:pStyle w:val="ListParagraph"/>
              <w:ind w:left="318"/>
              <w:jc w:val="center"/>
              <w:textAlignment w:val="baseline"/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OR</w:t>
            </w:r>
          </w:p>
          <w:p w14:paraId="7688451C" w14:textId="2FC63C0C" w:rsidR="00E24C7D" w:rsidRPr="0038012B" w:rsidRDefault="00E24C7D" w:rsidP="0038012B">
            <w:pPr>
              <w:pStyle w:val="ListParagraph"/>
              <w:numPr>
                <w:ilvl w:val="0"/>
                <w:numId w:val="6"/>
              </w:numPr>
              <w:ind w:left="318"/>
              <w:textAlignment w:val="baseline"/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bCs/>
                <w:color w:val="FF0000"/>
                <w:lang w:eastAsia="en-GB"/>
              </w:rPr>
              <w:t>What strategies does the Board have in place for ‘facing and finding ways through whatever goes wrong with ourselves and our communities’?</w:t>
            </w:r>
          </w:p>
        </w:tc>
      </w:tr>
      <w:tr w:rsidR="00E24C7D" w14:paraId="2A7B4D8C" w14:textId="77777777" w:rsidTr="0038012B">
        <w:tc>
          <w:tcPr>
            <w:tcW w:w="1129" w:type="dxa"/>
          </w:tcPr>
          <w:p w14:paraId="2103D63F" w14:textId="77777777" w:rsidR="00E24C7D" w:rsidRDefault="00E24C7D" w:rsidP="00E24C7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9" w:type="dxa"/>
          </w:tcPr>
          <w:p w14:paraId="15E23C7F" w14:textId="2863C21B" w:rsidR="00E24C7D" w:rsidRDefault="00E24C7D" w:rsidP="0038012B">
            <w:pPr>
              <w:pStyle w:val="ListParagraph"/>
              <w:numPr>
                <w:ilvl w:val="0"/>
                <w:numId w:val="8"/>
              </w:numPr>
              <w:ind w:left="318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>How do you, as a governing body, balance a rigorous approach to standards in the narrowest sense of performance tables, with the confidence to build a broader curriculum? What is really valued in your conversations with leaders?</w:t>
            </w:r>
          </w:p>
          <w:p w14:paraId="161A5563" w14:textId="40528930" w:rsidR="0038012B" w:rsidRPr="0038012B" w:rsidRDefault="0038012B" w:rsidP="0038012B">
            <w:pPr>
              <w:pStyle w:val="ListParagraph"/>
              <w:ind w:left="318"/>
              <w:jc w:val="center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OR</w:t>
            </w:r>
          </w:p>
          <w:p w14:paraId="2B3EFCF7" w14:textId="1C702904" w:rsidR="00E24C7D" w:rsidRPr="0038012B" w:rsidRDefault="00E24C7D" w:rsidP="0038012B">
            <w:pPr>
              <w:pStyle w:val="ListParagraph"/>
              <w:numPr>
                <w:ilvl w:val="0"/>
                <w:numId w:val="8"/>
              </w:numPr>
              <w:ind w:left="318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 xml:space="preserve">How might we in fact show that the things (and by implication those leading them) that ‘need improvement’ are </w:t>
            </w:r>
            <w:proofErr w:type="gramStart"/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>actually still</w:t>
            </w:r>
            <w:proofErr w:type="gramEnd"/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 xml:space="preserve"> of value?</w:t>
            </w:r>
          </w:p>
        </w:tc>
      </w:tr>
      <w:tr w:rsidR="00E24C7D" w14:paraId="1EE92F9F" w14:textId="77777777" w:rsidTr="0038012B">
        <w:tc>
          <w:tcPr>
            <w:tcW w:w="1129" w:type="dxa"/>
          </w:tcPr>
          <w:p w14:paraId="575AC814" w14:textId="77777777" w:rsidR="00E24C7D" w:rsidRDefault="00E24C7D" w:rsidP="00E24C7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9" w:type="dxa"/>
          </w:tcPr>
          <w:p w14:paraId="5604A837" w14:textId="3965DE10" w:rsidR="00E24C7D" w:rsidRDefault="00E24C7D" w:rsidP="0038012B">
            <w:pPr>
              <w:pStyle w:val="ListParagraph"/>
              <w:numPr>
                <w:ilvl w:val="0"/>
                <w:numId w:val="10"/>
              </w:numPr>
              <w:ind w:left="318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 xml:space="preserve">If ‘wisdom is about ethics as well as cognition, </w:t>
            </w:r>
            <w:proofErr w:type="gramStart"/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>values</w:t>
            </w:r>
            <w:proofErr w:type="gramEnd"/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 xml:space="preserve"> and purpose as well as facts’, how is that combined with an emphasis on analysing data outcomes and focus on challenging objectives?</w:t>
            </w:r>
          </w:p>
          <w:p w14:paraId="1404EDAC" w14:textId="5D406A4B" w:rsidR="0038012B" w:rsidRPr="0038012B" w:rsidRDefault="0038012B" w:rsidP="0038012B">
            <w:pPr>
              <w:pStyle w:val="ListParagraph"/>
              <w:ind w:left="318"/>
              <w:jc w:val="center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OR</w:t>
            </w:r>
          </w:p>
          <w:p w14:paraId="50BA8766" w14:textId="5FD58E19" w:rsidR="00E24C7D" w:rsidRPr="0038012B" w:rsidRDefault="00E24C7D" w:rsidP="0038012B">
            <w:pPr>
              <w:pStyle w:val="ListParagraph"/>
              <w:numPr>
                <w:ilvl w:val="0"/>
                <w:numId w:val="10"/>
              </w:numPr>
              <w:ind w:left="318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>How do your assessment practices enable teachers to flourish?</w:t>
            </w:r>
          </w:p>
        </w:tc>
      </w:tr>
      <w:tr w:rsidR="00E24C7D" w14:paraId="2B95A552" w14:textId="77777777" w:rsidTr="0038012B">
        <w:tc>
          <w:tcPr>
            <w:tcW w:w="1129" w:type="dxa"/>
          </w:tcPr>
          <w:p w14:paraId="199A0219" w14:textId="77777777" w:rsidR="00E24C7D" w:rsidRDefault="00E24C7D" w:rsidP="00E24C7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819" w:type="dxa"/>
          </w:tcPr>
          <w:p w14:paraId="0CF65E3A" w14:textId="0B3AB590" w:rsidR="00E24C7D" w:rsidRDefault="00E24C7D" w:rsidP="0038012B">
            <w:pPr>
              <w:pStyle w:val="ListParagraph"/>
              <w:numPr>
                <w:ilvl w:val="0"/>
                <w:numId w:val="10"/>
              </w:numPr>
              <w:ind w:left="318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>If wisdom includes ‘learning from history’, how might this inform a budget review?</w:t>
            </w:r>
          </w:p>
          <w:p w14:paraId="66540185" w14:textId="70547614" w:rsidR="0038012B" w:rsidRPr="0038012B" w:rsidRDefault="0038012B" w:rsidP="0038012B">
            <w:pPr>
              <w:pStyle w:val="ListParagraph"/>
              <w:ind w:left="318"/>
              <w:jc w:val="center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>
              <w:rPr>
                <w:rFonts w:ascii="Calibri" w:eastAsia="Times New Roman" w:hAnsi="Calibri" w:cs="Segoe UI"/>
                <w:color w:val="FF0000"/>
                <w:lang w:eastAsia="en-GB"/>
              </w:rPr>
              <w:t>OR</w:t>
            </w:r>
          </w:p>
          <w:p w14:paraId="444F26F0" w14:textId="62899303" w:rsidR="00E24C7D" w:rsidRPr="0038012B" w:rsidRDefault="00E24C7D" w:rsidP="0038012B">
            <w:pPr>
              <w:pStyle w:val="ListParagraph"/>
              <w:numPr>
                <w:ilvl w:val="0"/>
                <w:numId w:val="10"/>
              </w:numPr>
              <w:ind w:left="318"/>
              <w:textAlignment w:val="baseline"/>
              <w:rPr>
                <w:rFonts w:ascii="Calibri" w:eastAsia="Times New Roman" w:hAnsi="Calibri" w:cs="Segoe UI"/>
                <w:color w:val="FF0000"/>
                <w:lang w:eastAsia="en-GB"/>
              </w:rPr>
            </w:pPr>
            <w:r w:rsidRPr="0038012B">
              <w:rPr>
                <w:rFonts w:ascii="Calibri" w:eastAsia="Times New Roman" w:hAnsi="Calibri" w:cs="Segoe UI"/>
                <w:color w:val="FF0000"/>
                <w:lang w:eastAsia="en-GB"/>
              </w:rPr>
              <w:t>To what extent does your medium / long term financial planning demonstrate wisdom?</w:t>
            </w:r>
          </w:p>
        </w:tc>
      </w:tr>
    </w:tbl>
    <w:p w14:paraId="5E6D54F4" w14:textId="77777777" w:rsidR="00985ED1" w:rsidRPr="00985ED1" w:rsidRDefault="00985ED1" w:rsidP="00985ED1"/>
    <w:sectPr w:rsidR="00985ED1" w:rsidRPr="00985ED1" w:rsidSect="00985E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4157"/>
    <w:multiLevelType w:val="hybridMultilevel"/>
    <w:tmpl w:val="7E98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726A4"/>
    <w:multiLevelType w:val="hybridMultilevel"/>
    <w:tmpl w:val="3598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5666A"/>
    <w:multiLevelType w:val="hybridMultilevel"/>
    <w:tmpl w:val="9B4C1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0D98"/>
    <w:multiLevelType w:val="hybridMultilevel"/>
    <w:tmpl w:val="64B6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6C91"/>
    <w:multiLevelType w:val="hybridMultilevel"/>
    <w:tmpl w:val="7C0E8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3CDA"/>
    <w:multiLevelType w:val="hybridMultilevel"/>
    <w:tmpl w:val="8BAA9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44C5"/>
    <w:multiLevelType w:val="hybridMultilevel"/>
    <w:tmpl w:val="EC369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3705"/>
    <w:multiLevelType w:val="hybridMultilevel"/>
    <w:tmpl w:val="AD3C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43088"/>
    <w:multiLevelType w:val="hybridMultilevel"/>
    <w:tmpl w:val="18F0E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41C2E"/>
    <w:multiLevelType w:val="hybridMultilevel"/>
    <w:tmpl w:val="81B8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35CD7"/>
    <w:multiLevelType w:val="hybridMultilevel"/>
    <w:tmpl w:val="F962B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C38D4"/>
    <w:multiLevelType w:val="hybridMultilevel"/>
    <w:tmpl w:val="1CBC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D1"/>
    <w:rsid w:val="0038012B"/>
    <w:rsid w:val="004C6B39"/>
    <w:rsid w:val="00985ED1"/>
    <w:rsid w:val="00AE1EB7"/>
    <w:rsid w:val="00AE2DE4"/>
    <w:rsid w:val="00BD72F4"/>
    <w:rsid w:val="00E2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EA24"/>
  <w15:chartTrackingRefBased/>
  <w15:docId w15:val="{16D5396B-7C58-4A56-9412-2014B5CC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C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4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 course</TermName>
          <TermId xmlns="http://schemas.microsoft.com/office/infopath/2007/PartnerControls">baf50b12-4b4b-4b46-bbf9-3421466cf5b6</TermId>
        </TermInfo>
      </Terms>
    </hc4e538d4a2f45a4befe1746bd98d028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cf8ac735-36c9-40a6-9d28-2e04b43df3d5</TermId>
        </TermInfo>
      </Terms>
    </o7a2c36836484016beb550f1994bee37>
    <Key_x0020_Stage xmlns="2630dbf1-9670-49a5-93a6-011babee3226" xsi:nil="true"/>
    <TaxCatchAll xmlns="2630dbf1-9670-49a5-93a6-011babee3226">
      <Value>13</Value>
      <Value>32</Value>
      <Value>28</Value>
      <Value>6</Value>
    </TaxCatchAll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9b066062-84cf-4eb5-81ae-307824c4f13a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Foundation Governors</TermName>
          <TermId xmlns="http://schemas.microsoft.com/office/infopath/2007/PartnerControls">95971e44-59da-4621-acfd-028e3bbb55ad</TermId>
        </TermInfo>
      </Terms>
    </e7ff3f8cafe8453391f5915f4841a855>
    <Course_x0020_or_x0020_Event_x0020_Name xmlns="2630dbf1-9670-49a5-93a6-011babee3226">Foundation Governors Professional Development Session Two</Course_x0020_or_x0020_Event_x0020_Name>
    <Course_x0020_or_x0020_event_x0020_date xmlns="2630dbf1-9670-49a5-93a6-011babee3226">2022-01-20T00:00:00+00:00</Course_x0020_or_x0020_event_x0020_date>
  </documentManagement>
</p:properties>
</file>

<file path=customXml/itemProps1.xml><?xml version="1.0" encoding="utf-8"?>
<ds:datastoreItem xmlns:ds="http://schemas.openxmlformats.org/officeDocument/2006/customXml" ds:itemID="{057CD022-3257-4A25-8AED-C6D080D01AC1}"/>
</file>

<file path=customXml/itemProps2.xml><?xml version="1.0" encoding="utf-8"?>
<ds:datastoreItem xmlns:ds="http://schemas.openxmlformats.org/officeDocument/2006/customXml" ds:itemID="{0FBF941E-DA74-4678-A475-6C67FC6FDD54}"/>
</file>

<file path=customXml/itemProps3.xml><?xml version="1.0" encoding="utf-8"?>
<ds:datastoreItem xmlns:ds="http://schemas.openxmlformats.org/officeDocument/2006/customXml" ds:itemID="{7A323D24-6920-4258-BF70-16005E4EF752}"/>
</file>

<file path=customXml/itemProps4.xml><?xml version="1.0" encoding="utf-8"?>
<ds:datastoreItem xmlns:ds="http://schemas.openxmlformats.org/officeDocument/2006/customXml" ds:itemID="{69531C74-393C-45A2-9C44-1C228D685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Roberts</dc:creator>
  <cp:keywords/>
  <dc:description/>
  <cp:lastModifiedBy>Dan Roberts</cp:lastModifiedBy>
  <cp:revision>2</cp:revision>
  <dcterms:created xsi:type="dcterms:W3CDTF">2021-12-21T16:03:00Z</dcterms:created>
  <dcterms:modified xsi:type="dcterms:W3CDTF">2021-12-21T16:03:00Z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0x0101008C675C638B6D1E428BEF5858EA6C8FCC0033D595D869F69346881FA91218569F3D</vt:lpwstr>
  </property>
  <property fmtid="{D5CDD505-2E9C-101B-9397-08002B2CF9AE}" pid="3" name="Document_x0020_type">
    <vt:lpwstr/>
  </property>
  <property fmtid="{D5CDD505-2E9C-101B-9397-08002B2CF9AE}" pid="4" name="Topic">
    <vt:lpwstr>32;#Training|cf8ac735-36c9-40a6-9d28-2e04b43df3d5</vt:lpwstr>
  </property>
  <property fmtid="{D5CDD505-2E9C-101B-9397-08002B2CF9AE}" pid="5" name="Academic_x0020_Year">
    <vt:lpwstr/>
  </property>
  <property fmtid="{D5CDD505-2E9C-101B-9397-08002B2CF9AE}" pid="6" name="Audience">
    <vt:lpwstr>13;#Foundation Governors|95971e44-59da-4621-acfd-028e3bbb55ad</vt:lpwstr>
  </property>
  <property fmtid="{D5CDD505-2E9C-101B-9397-08002B2CF9AE}" pid="7" name="Academic Year">
    <vt:lpwstr>6;#2021-2022|9b066062-84cf-4eb5-81ae-307824c4f13a</vt:lpwstr>
  </property>
  <property fmtid="{D5CDD505-2E9C-101B-9397-08002B2CF9AE}" pid="8" name="Document type">
    <vt:lpwstr>28;#Pre course|baf50b12-4b4b-4b46-bbf9-3421466cf5b6</vt:lpwstr>
  </property>
  <property fmtid="{D5CDD505-2E9C-101B-9397-08002B2CF9AE}" pid="9" name="TriggerFlowInfo">
    <vt:lpwstr/>
  </property>
</Properties>
</file>